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宋体"/>
          <w:b/>
          <w:sz w:val="70"/>
        </w:rPr>
      </w:pPr>
      <w:bookmarkStart w:id="0" w:name="_GoBack"/>
      <w:bookmarkEnd w:id="0"/>
    </w:p>
    <w:p>
      <w:pPr>
        <w:pStyle w:val="2"/>
        <w:spacing w:after="3"/>
        <w:ind w:left="334" w:right="414"/>
        <w:jc w:val="center"/>
      </w:pPr>
      <w:r>
        <w:t>琼山财预〔2022〕133 号</w:t>
      </w:r>
    </w:p>
    <w:p>
      <w:pPr>
        <w:pStyle w:val="2"/>
        <w:spacing w:line="30" w:lineRule="exact"/>
        <w:ind w:left="103"/>
        <w:rPr>
          <w:sz w:val="3"/>
        </w:rPr>
      </w:pPr>
    </w:p>
    <w:p>
      <w:pPr>
        <w:pStyle w:val="2"/>
      </w:pPr>
    </w:p>
    <w:p>
      <w:pPr>
        <w:pStyle w:val="2"/>
        <w:spacing w:before="12"/>
        <w:rPr>
          <w:sz w:val="37"/>
        </w:rPr>
      </w:pPr>
    </w:p>
    <w:p>
      <w:pPr>
        <w:spacing w:before="0" w:line="659" w:lineRule="exact"/>
        <w:ind w:left="334" w:right="412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海口市琼山区财政局</w:t>
      </w:r>
    </w:p>
    <w:p>
      <w:pPr>
        <w:spacing w:before="0" w:line="659" w:lineRule="exact"/>
        <w:ind w:left="334" w:right="411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关于批复 </w:t>
      </w:r>
      <w:r>
        <w:rPr>
          <w:rFonts w:hint="eastAsia" w:ascii="方正小标宋简体" w:eastAsia="方正小标宋简体"/>
          <w:i/>
          <w:sz w:val="44"/>
        </w:rPr>
        <w:t xml:space="preserve">2022 </w:t>
      </w:r>
      <w:r>
        <w:rPr>
          <w:rFonts w:hint="eastAsia" w:ascii="方正小标宋简体" w:eastAsia="方正小标宋简体"/>
          <w:sz w:val="44"/>
        </w:rPr>
        <w:t>年单位预算的通知</w:t>
      </w:r>
    </w:p>
    <w:p>
      <w:pPr>
        <w:pStyle w:val="2"/>
        <w:spacing w:before="10"/>
        <w:rPr>
          <w:rFonts w:ascii="方正小标宋简体"/>
          <w:sz w:val="28"/>
        </w:rPr>
      </w:pPr>
    </w:p>
    <w:p>
      <w:pPr>
        <w:pStyle w:val="2"/>
        <w:spacing w:before="1"/>
        <w:ind w:left="180"/>
      </w:pPr>
      <w:r>
        <w:t>海口市琼山区教育局：</w:t>
      </w:r>
    </w:p>
    <w:p>
      <w:pPr>
        <w:pStyle w:val="2"/>
        <w:spacing w:before="130"/>
        <w:ind w:right="256"/>
        <w:jc w:val="right"/>
      </w:pPr>
      <w:r>
        <w:rPr>
          <w:spacing w:val="-1"/>
        </w:rPr>
        <w:t xml:space="preserve">根据区人大第十六届第二次会议批复的 </w:t>
      </w:r>
      <w:r>
        <w:t>2022</w:t>
      </w:r>
      <w:r>
        <w:rPr>
          <w:spacing w:val="-3"/>
        </w:rPr>
        <w:t xml:space="preserve"> 年琼山区</w:t>
      </w:r>
    </w:p>
    <w:p>
      <w:pPr>
        <w:pStyle w:val="2"/>
        <w:spacing w:before="130"/>
        <w:ind w:right="256"/>
        <w:jc w:val="right"/>
      </w:pPr>
      <w:r>
        <w:rPr>
          <w:spacing w:val="-5"/>
        </w:rPr>
        <w:t xml:space="preserve">预算，安排你单位 </w:t>
      </w:r>
      <w:r>
        <w:t>2022</w:t>
      </w:r>
      <w:r>
        <w:rPr>
          <w:spacing w:val="-14"/>
        </w:rPr>
        <w:t xml:space="preserve"> 年预算总收入 </w:t>
      </w:r>
      <w:r>
        <w:t>172784.38</w:t>
      </w:r>
      <w:r>
        <w:rPr>
          <w:spacing w:val="-10"/>
        </w:rPr>
        <w:t xml:space="preserve"> 千元，其</w:t>
      </w:r>
    </w:p>
    <w:p>
      <w:pPr>
        <w:pStyle w:val="2"/>
        <w:spacing w:before="130"/>
        <w:ind w:right="257"/>
        <w:jc w:val="right"/>
      </w:pPr>
      <w:r>
        <w:rPr>
          <w:spacing w:val="-10"/>
        </w:rPr>
        <w:t xml:space="preserve">中：一般公共预算拨款收入 </w:t>
      </w:r>
      <w:r>
        <w:t>143439.27</w:t>
      </w:r>
      <w:r>
        <w:rPr>
          <w:spacing w:val="-12"/>
        </w:rPr>
        <w:t xml:space="preserve"> 千元；政府性基金收</w:t>
      </w:r>
    </w:p>
    <w:p>
      <w:pPr>
        <w:pStyle w:val="2"/>
        <w:spacing w:before="130"/>
        <w:ind w:right="257"/>
        <w:jc w:val="right"/>
      </w:pPr>
      <w:r>
        <w:rPr>
          <w:spacing w:val="-22"/>
        </w:rPr>
        <w:t xml:space="preserve">入 </w:t>
      </w:r>
      <w:r>
        <w:t>1380</w:t>
      </w:r>
      <w:r>
        <w:rPr>
          <w:spacing w:val="-12"/>
        </w:rPr>
        <w:t xml:space="preserve"> 千元；其他收入 </w:t>
      </w:r>
      <w:r>
        <w:t>0</w:t>
      </w:r>
      <w:r>
        <w:rPr>
          <w:spacing w:val="-7"/>
        </w:rPr>
        <w:t xml:space="preserve"> 千元；一般公共预算上年结转结</w:t>
      </w:r>
    </w:p>
    <w:p>
      <w:pPr>
        <w:pStyle w:val="2"/>
        <w:spacing w:before="130" w:line="316" w:lineRule="auto"/>
        <w:ind w:left="180" w:right="256"/>
        <w:jc w:val="both"/>
      </w:pPr>
      <w:r>
        <w:rPr>
          <w:spacing w:val="-2"/>
        </w:rPr>
        <w:t xml:space="preserve">余 </w:t>
      </w:r>
      <w:r>
        <w:t>27965.11</w:t>
      </w:r>
      <w:r>
        <w:rPr>
          <w:spacing w:val="-11"/>
        </w:rPr>
        <w:t xml:space="preserve"> 千元；政府性基金预算上年结转结余 </w:t>
      </w:r>
      <w:r>
        <w:t>0</w:t>
      </w:r>
      <w:r>
        <w:rPr>
          <w:spacing w:val="-16"/>
        </w:rPr>
        <w:t xml:space="preserve"> 千元； </w:t>
      </w:r>
      <w:r>
        <w:rPr>
          <w:spacing w:val="-21"/>
        </w:rPr>
        <w:t xml:space="preserve">国有资本经营预算上年结转结余 </w:t>
      </w:r>
      <w:r>
        <w:t>0</w:t>
      </w:r>
      <w:r>
        <w:rPr>
          <w:spacing w:val="-44"/>
        </w:rPr>
        <w:t xml:space="preserve"> 千元。</w:t>
      </w:r>
      <w:r>
        <w:t>2022</w:t>
      </w:r>
      <w:r>
        <w:rPr>
          <w:spacing w:val="-15"/>
        </w:rPr>
        <w:t xml:space="preserve"> 年单位预算总</w:t>
      </w:r>
      <w:r>
        <w:rPr>
          <w:spacing w:val="-29"/>
        </w:rPr>
        <w:t xml:space="preserve">支出 </w:t>
      </w:r>
      <w:r>
        <w:t>172784.38</w:t>
      </w:r>
      <w:r>
        <w:rPr>
          <w:spacing w:val="-17"/>
        </w:rPr>
        <w:t xml:space="preserve"> 千元，其中：基本支出 </w:t>
      </w:r>
      <w:r>
        <w:t>3200.57</w:t>
      </w:r>
      <w:r>
        <w:rPr>
          <w:spacing w:val="-16"/>
        </w:rPr>
        <w:t xml:space="preserve"> 千元；项目</w:t>
      </w:r>
      <w:r>
        <w:rPr>
          <w:spacing w:val="-31"/>
        </w:rPr>
        <w:t xml:space="preserve">支出 </w:t>
      </w:r>
      <w:r>
        <w:t>169583.81</w:t>
      </w:r>
      <w:r>
        <w:rPr>
          <w:spacing w:val="-45"/>
        </w:rPr>
        <w:t xml:space="preserve"> 千元。《</w:t>
      </w:r>
      <w:r>
        <w:t>2022</w:t>
      </w:r>
      <w:r>
        <w:rPr>
          <w:spacing w:val="-9"/>
        </w:rPr>
        <w:t xml:space="preserve"> 年海口市琼山区单位预算表》随文下达，并就有关问题通知如下：</w:t>
      </w:r>
    </w:p>
    <w:p>
      <w:pPr>
        <w:pStyle w:val="2"/>
        <w:spacing w:line="316" w:lineRule="auto"/>
        <w:ind w:left="180" w:right="261" w:firstLine="640"/>
      </w:pPr>
      <w:r>
        <w:rPr>
          <w:spacing w:val="-5"/>
        </w:rPr>
        <w:t>一、严格预算追加管理，建立预算追加和预算执行进度</w:t>
      </w:r>
      <w:r>
        <w:rPr>
          <w:spacing w:val="-4"/>
          <w:w w:val="95"/>
        </w:rPr>
        <w:t>挂钩机制。为强化预算的严肃性，单位预算批复后，除了区</w:t>
      </w:r>
    </w:p>
    <w:p>
      <w:pPr>
        <w:pStyle w:val="2"/>
        <w:spacing w:before="6"/>
        <w:rPr>
          <w:sz w:val="20"/>
        </w:rPr>
      </w:pPr>
    </w:p>
    <w:p>
      <w:pPr>
        <w:spacing w:before="93"/>
        <w:ind w:left="0" w:right="253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- 1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-</w:t>
      </w:r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1910" w:h="16840"/>
          <w:pgMar w:top="1580" w:right="1540" w:bottom="280" w:left="1620" w:header="720" w:footer="720" w:gutter="0"/>
          <w:cols w:space="720" w:num="1"/>
        </w:sectPr>
      </w:pPr>
    </w:p>
    <w:p>
      <w:pPr>
        <w:pStyle w:val="2"/>
        <w:spacing w:before="33" w:line="316" w:lineRule="auto"/>
        <w:ind w:left="180" w:right="258"/>
        <w:jc w:val="both"/>
      </w:pPr>
      <w:r>
        <w:rPr>
          <w:spacing w:val="-5"/>
        </w:rPr>
        <w:t>委、区政府会议纪要和区委、政府确定的重大项目外，原则</w:t>
      </w:r>
      <w:r>
        <w:rPr>
          <w:spacing w:val="-3"/>
        </w:rPr>
        <w:t>上不得追加预算。各单位因工作任务增加或调整引发的新增</w:t>
      </w:r>
      <w:r>
        <w:rPr>
          <w:spacing w:val="-5"/>
        </w:rPr>
        <w:t>支出，原则上由单位从年初预算安排的经费中调剂解决，确</w:t>
      </w:r>
      <w:r>
        <w:rPr>
          <w:spacing w:val="-3"/>
        </w:rPr>
        <w:t>需追加预算的按程序报批。追加预算只安排重点支出与刚性</w:t>
      </w:r>
      <w:r>
        <w:t>支出，一般性支出预算一律不予追加。</w:t>
      </w:r>
    </w:p>
    <w:p>
      <w:pPr>
        <w:pStyle w:val="2"/>
        <w:spacing w:line="316" w:lineRule="auto"/>
        <w:ind w:left="180" w:right="100" w:firstLine="640"/>
        <w:jc w:val="both"/>
      </w:pPr>
      <w:r>
        <w:rPr>
          <w:spacing w:val="-4"/>
        </w:rPr>
        <w:t>二、规范单位可执行指标项目的跨单位调剂，强化预算</w:t>
      </w:r>
      <w:r>
        <w:rPr>
          <w:spacing w:val="-5"/>
        </w:rPr>
        <w:t>刚性。按照海口市琼山区财政局关于做好预算一体化系统指</w:t>
      </w:r>
      <w:r>
        <w:rPr>
          <w:spacing w:val="-25"/>
        </w:rPr>
        <w:t>标调剂工作的通知》</w:t>
      </w:r>
      <w:r>
        <w:t>（</w:t>
      </w:r>
      <w:r>
        <w:rPr>
          <w:spacing w:val="-4"/>
        </w:rPr>
        <w:t>琼山财预〔</w:t>
      </w:r>
      <w:r>
        <w:t>2021</w:t>
      </w:r>
      <w:r>
        <w:rPr>
          <w:spacing w:val="-17"/>
        </w:rPr>
        <w:t>〕</w:t>
      </w:r>
      <w:r>
        <w:t>421</w:t>
      </w:r>
      <w:r>
        <w:rPr>
          <w:spacing w:val="-42"/>
        </w:rPr>
        <w:t xml:space="preserve"> 号</w:t>
      </w:r>
      <w:r>
        <w:rPr>
          <w:spacing w:val="-17"/>
        </w:rPr>
        <w:t>）</w:t>
      </w:r>
      <w:r>
        <w:rPr>
          <w:spacing w:val="-5"/>
        </w:rPr>
        <w:t>要求，规范单位可执行指标项目的跨单位调剂使用。对涉及人员工资、</w:t>
      </w:r>
      <w:r>
        <w:rPr>
          <w:spacing w:val="-7"/>
        </w:rPr>
        <w:t>单位正常运转经费、政府投资项目、政府承诺的各项民生保</w:t>
      </w:r>
      <w:r>
        <w:rPr>
          <w:spacing w:val="-6"/>
        </w:rPr>
        <w:t>障支出、重大公益性基础设施建设等刚性支出及必保项目资</w:t>
      </w:r>
      <w:r>
        <w:rPr>
          <w:spacing w:val="-5"/>
        </w:rPr>
        <w:t>金，原则上不允许调剂，年初预算安排的新增项目和一次性</w:t>
      </w:r>
      <w:r>
        <w:rPr>
          <w:spacing w:val="-6"/>
        </w:rPr>
        <w:t>项目原则上也不允许调剂，同一个项目原则上仅允许调剂变</w:t>
      </w:r>
      <w:r>
        <w:rPr>
          <w:spacing w:val="-16"/>
          <w:w w:val="95"/>
        </w:rPr>
        <w:t>更一次，且变更后当年未使用完毕的，原则上不予结转下年。</w:t>
      </w:r>
    </w:p>
    <w:p>
      <w:pPr>
        <w:pStyle w:val="2"/>
        <w:spacing w:line="400" w:lineRule="exact"/>
        <w:ind w:left="821"/>
        <w:jc w:val="both"/>
      </w:pPr>
      <w:r>
        <w:rPr>
          <w:spacing w:val="-1"/>
        </w:rPr>
        <w:t xml:space="preserve">三、区各单位在单位预算批复后 </w:t>
      </w:r>
      <w:r>
        <w:t>20</w:t>
      </w:r>
      <w:r>
        <w:rPr>
          <w:spacing w:val="-3"/>
        </w:rPr>
        <w:t xml:space="preserve"> 日内必须在区政府</w:t>
      </w:r>
    </w:p>
    <w:p>
      <w:pPr>
        <w:pStyle w:val="2"/>
        <w:spacing w:before="125" w:line="316" w:lineRule="auto"/>
        <w:ind w:left="180" w:right="257"/>
        <w:jc w:val="both"/>
      </w:pPr>
      <w:r>
        <w:rPr>
          <w:spacing w:val="-1"/>
        </w:rPr>
        <w:t xml:space="preserve">门户网站信息公开专栏公开本单位 </w:t>
      </w:r>
      <w:r>
        <w:t>2022</w:t>
      </w:r>
      <w:r>
        <w:rPr>
          <w:spacing w:val="-4"/>
        </w:rPr>
        <w:t xml:space="preserve"> 年单位预算和“三</w:t>
      </w:r>
      <w:r>
        <w:t>公”经费预算。</w:t>
      </w:r>
    </w:p>
    <w:p>
      <w:pPr>
        <w:pStyle w:val="2"/>
        <w:spacing w:before="12"/>
        <w:rPr>
          <w:sz w:val="41"/>
        </w:rPr>
      </w:pPr>
    </w:p>
    <w:p>
      <w:pPr>
        <w:pStyle w:val="2"/>
        <w:ind w:left="821"/>
        <w:jc w:val="both"/>
      </w:pPr>
      <w:r>
        <w:t>附件：2022 年海口市琼山区单位预算表</w:t>
      </w:r>
    </w:p>
    <w:p>
      <w:pPr>
        <w:pStyle w:val="2"/>
        <w:spacing w:before="11"/>
        <w:rPr>
          <w:sz w:val="24"/>
        </w:rPr>
      </w:pPr>
    </w:p>
    <w:p>
      <w:pPr>
        <w:pStyle w:val="2"/>
        <w:spacing w:before="5"/>
        <w:rPr>
          <w:sz w:val="11"/>
        </w:rPr>
      </w:pPr>
    </w:p>
    <w:p>
      <w:pPr>
        <w:pStyle w:val="2"/>
        <w:spacing w:before="2"/>
        <w:rPr>
          <w:sz w:val="9"/>
        </w:rPr>
      </w:pPr>
    </w:p>
    <w:p>
      <w:pPr>
        <w:tabs>
          <w:tab w:val="left" w:pos="5502"/>
        </w:tabs>
        <w:spacing w:before="61"/>
        <w:ind w:left="319" w:right="0" w:firstLine="0"/>
        <w:jc w:val="left"/>
        <w:rPr>
          <w:sz w:val="28"/>
        </w:rPr>
      </w:pPr>
      <w:r>
        <w:rPr>
          <w:sz w:val="28"/>
        </w:rPr>
        <w:t>海口市</w:t>
      </w:r>
      <w:r>
        <w:rPr>
          <w:spacing w:val="-3"/>
          <w:sz w:val="28"/>
        </w:rPr>
        <w:t>琼</w:t>
      </w:r>
      <w:r>
        <w:rPr>
          <w:sz w:val="28"/>
        </w:rPr>
        <w:t>山区</w:t>
      </w:r>
      <w:r>
        <w:rPr>
          <w:spacing w:val="-3"/>
          <w:sz w:val="28"/>
        </w:rPr>
        <w:t>财政</w:t>
      </w:r>
      <w:r>
        <w:rPr>
          <w:sz w:val="28"/>
        </w:rPr>
        <w:t>局办公室</w:t>
      </w:r>
      <w:r>
        <w:rPr>
          <w:sz w:val="28"/>
        </w:rPr>
        <w:tab/>
      </w:r>
      <w:r>
        <w:rPr>
          <w:sz w:val="28"/>
        </w:rPr>
        <w:t>2022</w:t>
      </w:r>
      <w:r>
        <w:rPr>
          <w:spacing w:val="-72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sz w:val="28"/>
        </w:rPr>
        <w:t>3</w:t>
      </w:r>
      <w:r>
        <w:rPr>
          <w:spacing w:val="-71"/>
          <w:sz w:val="28"/>
        </w:rPr>
        <w:t xml:space="preserve"> </w:t>
      </w:r>
      <w:r>
        <w:rPr>
          <w:sz w:val="28"/>
        </w:rPr>
        <w:t>月</w:t>
      </w:r>
      <w:r>
        <w:rPr>
          <w:spacing w:val="-71"/>
          <w:sz w:val="28"/>
        </w:rPr>
        <w:t xml:space="preserve"> </w:t>
      </w:r>
      <w:r>
        <w:rPr>
          <w:sz w:val="28"/>
        </w:rPr>
        <w:t>15</w:t>
      </w:r>
      <w:r>
        <w:rPr>
          <w:spacing w:val="-72"/>
          <w:sz w:val="28"/>
        </w:rPr>
        <w:t xml:space="preserve"> </w:t>
      </w:r>
      <w:r>
        <w:rPr>
          <w:sz w:val="28"/>
        </w:rPr>
        <w:t>日印发</w:t>
      </w:r>
    </w:p>
    <w:p>
      <w:pPr>
        <w:pStyle w:val="2"/>
        <w:spacing w:before="11"/>
        <w:rPr>
          <w:sz w:val="10"/>
        </w:rPr>
      </w:pPr>
    </w:p>
    <w:p>
      <w:pPr>
        <w:spacing w:before="93"/>
        <w:ind w:left="180" w:right="0" w:firstLine="0"/>
        <w:jc w:val="left"/>
        <w:rPr>
          <w:rFonts w:ascii="Times New Roman"/>
          <w:sz w:val="18"/>
        </w:rPr>
      </w:pPr>
      <w:r>
        <w:pict>
          <v:line id="_x0000_s1031" o:spid="_x0000_s1031" o:spt="20" style="position:absolute;left:0pt;margin-left:87.8pt;margin-top:87.15pt;height:0.05pt;width:412.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</w:p>
    <w:sectPr>
      <w:pgSz w:w="11910" w:h="16840"/>
      <w:pgMar w:top="1500" w:right="1540" w:bottom="280" w:left="1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gwOWUxNThhYTUyM2MxNmQxNzAwOGZjYWY4YWZhY2MifQ=="/>
  </w:docVars>
  <w:rsids>
    <w:rsidRoot w:val="00000000"/>
    <w:rsid w:val="2FCC7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742</Words>
  <Characters>826</Characters>
  <TotalTime>1</TotalTime>
  <ScaleCrop>false</ScaleCrop>
  <LinksUpToDate>false</LinksUpToDate>
  <CharactersWithSpaces>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2022-05-19T08:59:00Z</dcterms:created>
  <dc:creator>微软用户</dc:creator>
  <cp:lastModifiedBy>章鱼丸子莫非鱼</cp:lastModifiedBy>
  <dcterms:modified xsi:type="dcterms:W3CDTF">2022-05-19T09:00:49Z</dcterms:modified>
  <dc:title>海口市琼山区财政局文件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2022-05-19T00:00:00Z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11CD61E5A26849C29F51ED369BDB8138</vt:lpwstr>
  </property>
</Properties>
</file>